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KUPIŠKIO RAJONO SAVIVALDYBĖS KULTŪROS CENTRO</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2022 M. KOVO  31 D. BIUDŽETO VYKDYMO ATSKAITOMYBĖS AIŠKINAMASIS RAŠTAS</w:t>
      </w:r>
    </w:p>
    <w:p>
      <w:pPr>
        <w:pStyle w:val="Normal"/>
        <w:spacing w:lineRule="auto" w:line="360" w:before="0" w:after="0"/>
        <w:jc w:val="center"/>
        <w:rPr>
          <w:rFonts w:ascii="Times New Roman" w:hAnsi="Times New Roman" w:eastAsia="" w:cs="Times New Roman" w:eastAsiaTheme="minorEastAsia"/>
          <w:b/>
          <w:b/>
          <w:sz w:val="24"/>
          <w:szCs w:val="24"/>
          <w:lang w:eastAsia="lt-LT"/>
        </w:rPr>
      </w:pPr>
      <w:r>
        <w:rPr>
          <w:rFonts w:eastAsia="" w:cs="Times New Roman" w:ascii="Times New Roman" w:hAnsi="Times New Roman" w:eastAsiaTheme="minorEastAsia"/>
          <w:b/>
          <w:sz w:val="24"/>
          <w:szCs w:val="24"/>
          <w:lang w:eastAsia="lt-LT"/>
        </w:rPr>
        <w:t>BIUDŽETINIŲ ĮSTAIGŲ PAJAMŲ ATASKAITA (forma Nr. 1)</w:t>
      </w:r>
    </w:p>
    <w:p>
      <w:pPr>
        <w:pStyle w:val="Normal"/>
        <w:tabs>
          <w:tab w:val="clear" w:pos="1296"/>
          <w:tab w:val="left" w:pos="1134" w:leader="none"/>
        </w:tabs>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1296"/>
          <w:tab w:val="left" w:pos="1134" w:leader="none"/>
        </w:tabs>
        <w:ind w:firstLine="851"/>
        <w:jc w:val="both"/>
        <w:rPr>
          <w:rFonts w:ascii="Times New Roman" w:hAnsi="Times New Roman" w:cs="Times New Roman"/>
          <w:sz w:val="24"/>
          <w:szCs w:val="24"/>
        </w:rPr>
      </w:pPr>
      <w:r>
        <w:rPr>
          <w:rFonts w:cs="Times New Roman" w:ascii="Times New Roman" w:hAnsi="Times New Roman"/>
          <w:sz w:val="24"/>
          <w:szCs w:val="24"/>
        </w:rPr>
        <w:t xml:space="preserve">Bendras pajamų įmokų surinkimo plano  įvykdymas 40.36 %. </w:t>
      </w:r>
    </w:p>
    <w:tbl>
      <w:tblPr>
        <w:tblW w:w="963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268"/>
        <w:gridCol w:w="3850"/>
        <w:gridCol w:w="3521"/>
      </w:tblGrid>
      <w:tr>
        <w:trPr>
          <w:trHeight w:val="300" w:hRule="atLeast"/>
        </w:trPr>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Ataskaitinis laikotarpis</w:t>
            </w:r>
          </w:p>
        </w:tc>
        <w:tc>
          <w:tcPr>
            <w:tcW w:w="385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Pajamų įmokų surinkimo planas ataskaitinio laikotarpio (Eur)</w:t>
            </w:r>
          </w:p>
        </w:tc>
        <w:tc>
          <w:tcPr>
            <w:tcW w:w="3521"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Faktinės įmokos į biudžetą per ataskaitinį laikotarpį (Eur,ct)</w:t>
            </w:r>
          </w:p>
        </w:tc>
      </w:tr>
      <w:tr>
        <w:trPr>
          <w:trHeight w:val="300" w:hRule="atLeast"/>
        </w:trPr>
        <w:tc>
          <w:tcPr>
            <w:tcW w:w="22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2022 metai 1 ketvirtis</w:t>
            </w:r>
          </w:p>
        </w:tc>
        <w:tc>
          <w:tcPr>
            <w:tcW w:w="385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7100</w:t>
            </w:r>
          </w:p>
        </w:tc>
        <w:tc>
          <w:tcPr>
            <w:tcW w:w="352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lt-LT"/>
              </w:rPr>
            </w:pPr>
            <w:r>
              <w:rPr>
                <w:rFonts w:eastAsia="Times New Roman" w:cs="Times New Roman" w:ascii="Times New Roman" w:hAnsi="Times New Roman"/>
                <w:color w:val="000000"/>
                <w:sz w:val="24"/>
                <w:szCs w:val="24"/>
                <w:lang w:eastAsia="lt-LT"/>
              </w:rPr>
              <w:t>2865.89</w:t>
            </w:r>
          </w:p>
        </w:tc>
      </w:tr>
    </w:tbl>
    <w:p>
      <w:pPr>
        <w:pStyle w:val="Normal"/>
        <w:tabs>
          <w:tab w:val="clear" w:pos="1296"/>
          <w:tab w:val="left" w:pos="1134" w:leader="none"/>
        </w:tabs>
        <w:spacing w:before="0" w:after="0"/>
        <w:ind w:firstLine="851"/>
        <w:jc w:val="both"/>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1296"/>
          <w:tab w:val="left" w:pos="1134" w:leader="none"/>
        </w:tabs>
        <w:spacing w:lineRule="auto" w:line="360" w:before="0" w:after="0"/>
        <w:ind w:firstLine="851"/>
        <w:jc w:val="both"/>
        <w:rPr>
          <w:rFonts w:ascii="Times New Roman" w:hAnsi="Times New Roman" w:cs="Times New Roman"/>
          <w:bCs/>
          <w:sz w:val="24"/>
          <w:szCs w:val="24"/>
        </w:rPr>
      </w:pPr>
      <w:r>
        <w:rPr>
          <w:rFonts w:cs="Times New Roman" w:ascii="Times New Roman" w:hAnsi="Times New Roman"/>
          <w:bCs/>
          <w:sz w:val="24"/>
          <w:szCs w:val="24"/>
        </w:rPr>
        <w:t>Pajamų įmokų už renginius surinkimo planas 4000 Eur, įvykdymas 2079.06 Eur (51.98%).</w:t>
      </w:r>
      <w:r>
        <w:rPr>
          <w:rFonts w:cs="Times New Roman" w:ascii="Times New Roman" w:hAnsi="Times New Roman"/>
          <w:color w:val="000000"/>
          <w:sz w:val="24"/>
          <w:szCs w:val="24"/>
        </w:rPr>
        <w:t xml:space="preserve"> Surinkimo planas neįvykdytas dėl mažesnio kiekio teikiamų paslaugų nei buvo planuota, nes nebuvo pilnai vykdoma veikla karantino metu.</w:t>
      </w:r>
    </w:p>
    <w:p>
      <w:pPr>
        <w:pStyle w:val="Normal"/>
        <w:tabs>
          <w:tab w:val="clear" w:pos="1296"/>
          <w:tab w:val="left" w:pos="1134" w:leader="none"/>
        </w:tabs>
        <w:spacing w:lineRule="auto" w:line="360" w:before="0" w:after="0"/>
        <w:ind w:firstLine="851"/>
        <w:jc w:val="both"/>
        <w:rPr>
          <w:rFonts w:ascii="Times New Roman" w:hAnsi="Times New Roman" w:cs="Times New Roman"/>
          <w:color w:val="000000"/>
          <w:sz w:val="24"/>
          <w:szCs w:val="24"/>
        </w:rPr>
      </w:pPr>
      <w:r>
        <w:rPr>
          <w:rFonts w:cs="Times New Roman" w:ascii="Times New Roman" w:hAnsi="Times New Roman"/>
          <w:bCs/>
          <w:sz w:val="24"/>
          <w:szCs w:val="24"/>
        </w:rPr>
        <w:t>Surinkimo planas aptarnavimo paslaugų įmokų  900 Eur,  įvykdymas 786.83 Eur (87.43</w:t>
      </w:r>
      <w:r>
        <w:rPr>
          <w:rFonts w:cs="Times New Roman" w:ascii="Times New Roman" w:hAnsi="Times New Roman"/>
          <w:bCs/>
          <w:sz w:val="24"/>
          <w:szCs w:val="24"/>
          <w:lang w:val="en-US"/>
        </w:rPr>
        <w:t>%</w:t>
      </w:r>
      <w:r>
        <w:rPr>
          <w:rFonts w:cs="Times New Roman" w:ascii="Times New Roman" w:hAnsi="Times New Roman"/>
          <w:bCs/>
          <w:sz w:val="24"/>
          <w:szCs w:val="24"/>
        </w:rPr>
        <w:t xml:space="preserve">).  Surinkimo  pajamų planas neįvykdytas, nes nebuvo pilnai </w:t>
      </w:r>
      <w:r>
        <w:rPr>
          <w:rFonts w:cs="Times New Roman" w:ascii="Times New Roman" w:hAnsi="Times New Roman"/>
          <w:color w:val="000000"/>
          <w:sz w:val="24"/>
          <w:szCs w:val="24"/>
        </w:rPr>
        <w:t>vykdoma veikla karantino metu.</w:t>
      </w:r>
    </w:p>
    <w:p>
      <w:pPr>
        <w:pStyle w:val="Normal"/>
        <w:tabs>
          <w:tab w:val="clear" w:pos="1296"/>
          <w:tab w:val="left" w:pos="1134" w:leader="none"/>
        </w:tabs>
        <w:spacing w:lineRule="auto" w:line="360" w:before="0" w:after="0"/>
        <w:ind w:firstLine="851"/>
        <w:jc w:val="both"/>
        <w:rPr>
          <w:rFonts w:ascii="Times New Roman" w:hAnsi="Times New Roman" w:cs="Times New Roman"/>
          <w:color w:val="000000"/>
          <w:sz w:val="24"/>
          <w:szCs w:val="24"/>
        </w:rPr>
      </w:pPr>
      <w:r>
        <w:rPr>
          <w:rFonts w:cs="Times New Roman" w:ascii="Times New Roman" w:hAnsi="Times New Roman"/>
          <w:sz w:val="24"/>
          <w:szCs w:val="24"/>
        </w:rPr>
        <w:t>Praėjusių metų nepanaudotas pajamų įmokų lėšų likutis, įtrauktas į ataskaitinių metų asignavimus  5864.26 Eur.</w:t>
      </w:r>
    </w:p>
    <w:p>
      <w:pPr>
        <w:pStyle w:val="Normal"/>
        <w:tabs>
          <w:tab w:val="clear" w:pos="1296"/>
          <w:tab w:val="left" w:pos="1134" w:leader="none"/>
        </w:tabs>
        <w:spacing w:lineRule="auto" w:line="360" w:before="0" w:after="0"/>
        <w:ind w:firstLine="851"/>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1296"/>
          <w:tab w:val="left" w:pos="1134" w:leader="none"/>
        </w:tabs>
        <w:spacing w:lineRule="auto" w:line="360" w:before="0" w:after="0"/>
        <w:ind w:firstLine="851"/>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1296"/>
          <w:tab w:val="left" w:pos="1134" w:leader="none"/>
        </w:tabs>
        <w:spacing w:lineRule="auto" w:line="360" w:before="0" w:after="0"/>
        <w:ind w:firstLine="851"/>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ASIGNAVIMŲ NEPANAUDOJIMO PRIEŽASTYS</w:t>
      </w:r>
    </w:p>
    <w:p>
      <w:pPr>
        <w:pStyle w:val="Normal"/>
        <w:tabs>
          <w:tab w:val="clear" w:pos="1296"/>
          <w:tab w:val="left" w:pos="1134" w:leader="none"/>
        </w:tabs>
        <w:spacing w:lineRule="auto" w:line="360" w:before="0" w:after="0"/>
        <w:ind w:firstLine="851"/>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Pagrindinistekstas"/>
        <w:rPr>
          <w:color w:val="000000"/>
          <w:szCs w:val="26"/>
        </w:rPr>
      </w:pPr>
      <w:r>
        <w:rPr/>
        <w:t>Žinių visuomenės, kultūrinio ir sportinio aktyvumo skatinimo programos (kodas 01)</w:t>
      </w:r>
      <w:r>
        <w:rPr>
          <w:color w:val="000000"/>
          <w:szCs w:val="26"/>
        </w:rPr>
        <w:t xml:space="preserve"> sąmatų įvykdymas:</w:t>
      </w:r>
    </w:p>
    <w:p>
      <w:pPr>
        <w:pStyle w:val="Pagrindinistekstas"/>
        <w:numPr>
          <w:ilvl w:val="0"/>
          <w:numId w:val="1"/>
        </w:numPr>
        <w:rPr>
          <w:color w:val="000000"/>
          <w:szCs w:val="26"/>
        </w:rPr>
      </w:pPr>
      <w:bookmarkStart w:id="0" w:name="_Hlk85010531"/>
      <w:r>
        <w:rPr>
          <w:color w:val="000000"/>
          <w:szCs w:val="26"/>
        </w:rPr>
        <w:t>Programa 08.02.01.08 (B) asignavimų planas – 204406 Eur, įvykdymas – 133765.70 Eur, t.y. 65.44%.</w:t>
      </w:r>
      <w:bookmarkEnd w:id="0"/>
      <w:r>
        <w:rPr>
          <w:color w:val="000000"/>
          <w:szCs w:val="26"/>
        </w:rPr>
        <w:t xml:space="preserve"> Pagrindinė priežastis asignavimų nepanaudojimui, darbo užmokesčio fondo asignavimų nepanaudojimas dėl neužimtų etatų, darbuotojų nedarbingumo, transporto išlaidų nepanaudojimas dėl atšauktų renginių vykdymo, informacinių technologijų prekių ir paslaugų įsigijimas, prekių ir paslaugų pirkimas atidėti į kitą ketvirtį (dėl atšauktų renginių) ir nedidelis nukrypimas atskirais straipsniais planuojant metų biudžetą;</w:t>
      </w:r>
    </w:p>
    <w:p>
      <w:pPr>
        <w:pStyle w:val="Pagrindinistekstas"/>
        <w:numPr>
          <w:ilvl w:val="0"/>
          <w:numId w:val="1"/>
        </w:numPr>
        <w:rPr>
          <w:color w:val="000000"/>
          <w:szCs w:val="26"/>
        </w:rPr>
      </w:pPr>
      <w:r>
        <w:rPr>
          <w:color w:val="000000"/>
          <w:szCs w:val="26"/>
        </w:rPr>
        <w:t>Programa 08.02.01.08 (Pajamų įmokos) asignavimų planas – 7100.00 Eur, įvykdymas – 1434.80 Eur, t.y. 20,21%. Asignavimų nepanaudojimas dėl mažesnio kiekio teikiamų paslaugų ir nepilnai vykdytos veiklos, atšauktų renginių.</w:t>
      </w:r>
    </w:p>
    <w:p>
      <w:pPr>
        <w:pStyle w:val="Pagrindinistekstas"/>
        <w:rPr>
          <w:color w:val="000000"/>
          <w:szCs w:val="26"/>
        </w:rPr>
      </w:pPr>
      <w:r>
        <w:rPr>
          <w:color w:val="000000"/>
          <w:szCs w:val="26"/>
        </w:rPr>
      </w:r>
    </w:p>
    <w:p>
      <w:pPr>
        <w:pStyle w:val="Pagrindinistekstas"/>
        <w:rPr>
          <w:color w:val="000000"/>
          <w:szCs w:val="26"/>
        </w:rPr>
      </w:pPr>
      <w:r>
        <w:rPr>
          <w:color w:val="000000"/>
          <w:szCs w:val="26"/>
        </w:rPr>
      </w:r>
    </w:p>
    <w:p>
      <w:pPr>
        <w:pStyle w:val="Pagrindinistekstas"/>
        <w:tabs>
          <w:tab w:val="clear" w:pos="1296"/>
          <w:tab w:val="left" w:pos="1134" w:leader="none"/>
        </w:tabs>
        <w:ind w:left="720" w:hanging="0"/>
        <w:rPr>
          <w:color w:val="000000"/>
          <w:szCs w:val="26"/>
        </w:rPr>
      </w:pPr>
      <w:r>
        <w:rPr>
          <w:color w:val="000000"/>
          <w:szCs w:val="26"/>
        </w:rPr>
      </w:r>
    </w:p>
    <w:p>
      <w:pPr>
        <w:pStyle w:val="Normal"/>
        <w:tabs>
          <w:tab w:val="clear" w:pos="1296"/>
          <w:tab w:val="left" w:pos="1134" w:leader="none"/>
        </w:tabs>
        <w:ind w:left="360" w:hanging="0"/>
        <w:jc w:val="center"/>
        <w:rPr>
          <w:rFonts w:ascii="Times New Roman" w:hAnsi="Times New Roman" w:cs="Times New Roman"/>
          <w:b/>
          <w:b/>
          <w:sz w:val="24"/>
          <w:szCs w:val="24"/>
        </w:rPr>
      </w:pPr>
      <w:r>
        <w:rPr>
          <w:rFonts w:cs="Times New Roman" w:ascii="Times New Roman" w:hAnsi="Times New Roman"/>
          <w:b/>
          <w:sz w:val="24"/>
          <w:szCs w:val="24"/>
        </w:rPr>
        <w:t>MOKĖTINŲ  SUMŲ ATASKAITA</w:t>
      </w:r>
    </w:p>
    <w:p>
      <w:pPr>
        <w:pStyle w:val="Normal"/>
        <w:tabs>
          <w:tab w:val="clear" w:pos="1296"/>
          <w:tab w:val="left" w:pos="1134" w:leader="none"/>
        </w:tabs>
        <w:ind w:left="360" w:hanging="0"/>
        <w:jc w:val="center"/>
        <w:rPr>
          <w:rFonts w:ascii="Times New Roman" w:hAnsi="Times New Roman" w:cs="Times New Roman"/>
          <w:b/>
          <w:b/>
          <w:sz w:val="24"/>
          <w:szCs w:val="24"/>
        </w:rPr>
      </w:pPr>
      <w:r>
        <w:rPr>
          <w:rFonts w:cs="Times New Roman" w:ascii="Times New Roman" w:hAnsi="Times New Roman"/>
          <w:b/>
          <w:sz w:val="24"/>
          <w:szCs w:val="24"/>
        </w:rPr>
      </w:r>
    </w:p>
    <w:tbl>
      <w:tblPr>
        <w:tblStyle w:val="Lentelstinklelis"/>
        <w:tblW w:w="974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50"/>
        <w:gridCol w:w="1456"/>
        <w:gridCol w:w="1804"/>
        <w:gridCol w:w="1694"/>
        <w:gridCol w:w="3642"/>
      </w:tblGrid>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Programa</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Finansavimo šaltinis</w:t>
            </w:r>
          </w:p>
        </w:tc>
        <w:tc>
          <w:tcPr>
            <w:tcW w:w="1804" w:type="dxa"/>
            <w:tcBorders/>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Ekonominės klasifikacijos kodas</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Mokėtina suma (Eur, ct)</w:t>
            </w:r>
          </w:p>
        </w:tc>
        <w:tc>
          <w:tcPr>
            <w:tcW w:w="3642"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Mokėtinos sumos susidarymo priežastys</w:t>
            </w:r>
          </w:p>
        </w:tc>
      </w:tr>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01</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B</w:t>
            </w:r>
          </w:p>
        </w:tc>
        <w:tc>
          <w:tcPr>
            <w:tcW w:w="180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ascii="Times New Roman" w:hAnsi="Times New Roman"/>
                <w:kern w:val="0"/>
                <w:sz w:val="24"/>
                <w:lang w:val="lt-LT" w:bidi="ar-SA"/>
              </w:rPr>
              <w:t>2.1.1.1.1.1</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55870.53</w:t>
            </w:r>
          </w:p>
        </w:tc>
        <w:tc>
          <w:tcPr>
            <w:tcW w:w="3642" w:type="dxa"/>
            <w:tcBorders/>
            <w:vAlign w:val="center"/>
          </w:tcPr>
          <w:p>
            <w:pPr>
              <w:pStyle w:val="Normal"/>
              <w:widowControl w:val="false"/>
              <w:suppressAutoHyphens w:val="true"/>
              <w:spacing w:lineRule="auto" w:line="240" w:beforeAutospacing="1" w:after="0"/>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Darbo užmokestis ir priklausantys mokesčiai mokami sekantį mėnesį.</w:t>
            </w:r>
          </w:p>
        </w:tc>
      </w:tr>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01</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B</w:t>
            </w:r>
          </w:p>
        </w:tc>
        <w:tc>
          <w:tcPr>
            <w:tcW w:w="1804" w:type="dxa"/>
            <w:tcBorders/>
            <w:vAlign w:val="center"/>
          </w:tcPr>
          <w:p>
            <w:pPr>
              <w:pStyle w:val="Normal"/>
              <w:widowControl w:val="false"/>
              <w:suppressAutoHyphens w:val="true"/>
              <w:spacing w:lineRule="auto" w:line="240" w:beforeAutospacing="1" w:after="0"/>
              <w:contextualSpacing/>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2.1.2.1.1.1</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879.95</w:t>
            </w:r>
          </w:p>
        </w:tc>
        <w:tc>
          <w:tcPr>
            <w:tcW w:w="3642" w:type="dxa"/>
            <w:tcBorders/>
            <w:vAlign w:val="center"/>
          </w:tcPr>
          <w:p>
            <w:pPr>
              <w:pStyle w:val="Normal"/>
              <w:widowControl w:val="false"/>
              <w:suppressAutoHyphens w:val="true"/>
              <w:spacing w:lineRule="auto" w:line="240" w:beforeAutospacing="1" w:after="0"/>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Socialinio draudimo įmokos mokamos sekantį mėnesį.</w:t>
            </w:r>
          </w:p>
        </w:tc>
      </w:tr>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01</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B</w:t>
            </w:r>
          </w:p>
        </w:tc>
        <w:tc>
          <w:tcPr>
            <w:tcW w:w="180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ascii="Times New Roman" w:hAnsi="Times New Roman"/>
                <w:kern w:val="0"/>
                <w:sz w:val="24"/>
                <w:lang w:val="lt-LT" w:bidi="ar-SA"/>
              </w:rPr>
              <w:t>2.2.1.1.1.05</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139.66</w:t>
            </w:r>
          </w:p>
        </w:tc>
        <w:tc>
          <w:tcPr>
            <w:tcW w:w="3642" w:type="dxa"/>
            <w:tcBorders/>
            <w:vAlign w:val="center"/>
          </w:tcPr>
          <w:p>
            <w:pPr>
              <w:pStyle w:val="Normal"/>
              <w:widowControl w:val="false"/>
              <w:suppressAutoHyphens w:val="true"/>
              <w:spacing w:lineRule="auto" w:line="240" w:beforeAutospacing="1" w:afterAutospacing="1"/>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Ryšio paslaugos ir pašto korespondencija už 03 mėn.</w:t>
            </w:r>
          </w:p>
          <w:p>
            <w:pPr>
              <w:pStyle w:val="Normal"/>
              <w:widowControl w:val="false"/>
              <w:suppressAutoHyphens w:val="true"/>
              <w:spacing w:lineRule="auto" w:line="240" w:beforeAutospacing="1" w:after="0"/>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Sąskaitos gautos mokėjimui balandžio mėn.</w:t>
            </w:r>
          </w:p>
        </w:tc>
      </w:tr>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01</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B</w:t>
            </w:r>
          </w:p>
        </w:tc>
        <w:tc>
          <w:tcPr>
            <w:tcW w:w="1804" w:type="dxa"/>
            <w:tcBorders/>
            <w:vAlign w:val="center"/>
          </w:tcPr>
          <w:p>
            <w:pPr>
              <w:pStyle w:val="Normal"/>
              <w:widowControl w:val="false"/>
              <w:suppressAutoHyphens w:val="true"/>
              <w:spacing w:lineRule="auto" w:line="240" w:beforeAutospacing="1" w:after="0"/>
              <w:contextualSpacing/>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2.2.1.1.1.06</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757.25</w:t>
            </w:r>
          </w:p>
        </w:tc>
        <w:tc>
          <w:tcPr>
            <w:tcW w:w="3642" w:type="dxa"/>
            <w:tcBorders/>
            <w:vAlign w:val="center"/>
          </w:tcPr>
          <w:p>
            <w:pPr>
              <w:pStyle w:val="Normal"/>
              <w:widowControl w:val="false"/>
              <w:suppressAutoHyphens w:val="true"/>
              <w:spacing w:lineRule="auto" w:line="240" w:beforeAutospacing="1" w:after="0"/>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Kuras transportui ir transporto išlaidų kompensavimas pagal avansines apyskaitas už 03 mėn. Sąskaitos ir avansinės apyskaitos gautos mokėjimui balandžio mėn.</w:t>
            </w:r>
          </w:p>
        </w:tc>
      </w:tr>
      <w:tr>
        <w:trPr/>
        <w:tc>
          <w:tcPr>
            <w:tcW w:w="1150"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01</w:t>
            </w:r>
          </w:p>
        </w:tc>
        <w:tc>
          <w:tcPr>
            <w:tcW w:w="1456"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B</w:t>
            </w:r>
          </w:p>
        </w:tc>
        <w:tc>
          <w:tcPr>
            <w:tcW w:w="1804" w:type="dxa"/>
            <w:tcBorders/>
            <w:vAlign w:val="center"/>
          </w:tcPr>
          <w:p>
            <w:pPr>
              <w:pStyle w:val="Normal"/>
              <w:widowControl w:val="false"/>
              <w:suppressAutoHyphens w:val="true"/>
              <w:spacing w:lineRule="auto" w:line="240" w:beforeAutospacing="1" w:after="0"/>
              <w:contextualSpacing/>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2.2.1.1.1.11</w:t>
            </w:r>
          </w:p>
        </w:tc>
        <w:tc>
          <w:tcPr>
            <w:tcW w:w="1694" w:type="dxa"/>
            <w:tcBorders/>
            <w:vAlign w:val="center"/>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95.20</w:t>
            </w:r>
          </w:p>
        </w:tc>
        <w:tc>
          <w:tcPr>
            <w:tcW w:w="3642" w:type="dxa"/>
            <w:tcBorders/>
            <w:vAlign w:val="center"/>
          </w:tcPr>
          <w:p>
            <w:pPr>
              <w:pStyle w:val="Normal"/>
              <w:widowControl w:val="false"/>
              <w:suppressAutoHyphens w:val="true"/>
              <w:spacing w:lineRule="auto" w:line="240" w:beforeAutospacing="1" w:after="0"/>
              <w:contextualSpacing/>
              <w:jc w:val="left"/>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Dienpinigiai už komandiruotę. Avansinė apyskaita mokėjimui gauta balandžio mėn.</w:t>
            </w:r>
          </w:p>
        </w:tc>
      </w:tr>
      <w:tr>
        <w:trPr>
          <w:trHeight w:val="989" w:hRule="atLeast"/>
        </w:trPr>
        <w:tc>
          <w:tcPr>
            <w:tcW w:w="1150"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01</w:t>
            </w:r>
          </w:p>
        </w:tc>
        <w:tc>
          <w:tcPr>
            <w:tcW w:w="1456"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B</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2.2.1.1.1.20</w:t>
            </w:r>
          </w:p>
        </w:tc>
        <w:tc>
          <w:tcPr>
            <w:tcW w:w="169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7608.88</w:t>
            </w:r>
          </w:p>
        </w:tc>
        <w:tc>
          <w:tcPr>
            <w:tcW w:w="3642"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Įsiskolinimas už komunalines paslaugas. Sąskaitos gautos mokėjimui balandžio mėn.</w:t>
            </w:r>
          </w:p>
        </w:tc>
      </w:tr>
      <w:tr>
        <w:trPr>
          <w:trHeight w:val="782" w:hRule="atLeast"/>
        </w:trPr>
        <w:tc>
          <w:tcPr>
            <w:tcW w:w="1150"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01</w:t>
            </w:r>
          </w:p>
        </w:tc>
        <w:tc>
          <w:tcPr>
            <w:tcW w:w="1456"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B</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2.2.1.1.1.30</w:t>
            </w:r>
          </w:p>
        </w:tc>
        <w:tc>
          <w:tcPr>
            <w:tcW w:w="169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360.24</w:t>
            </w:r>
          </w:p>
        </w:tc>
        <w:tc>
          <w:tcPr>
            <w:tcW w:w="3642"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Už prekes ir paslaugas sąskaitos ir avansinė apyskaita per 03 mėn. Sąskaitos ir avansinė apyskaita gautos mokėjimui balandžio mėn.</w:t>
            </w:r>
          </w:p>
        </w:tc>
      </w:tr>
      <w:tr>
        <w:trPr>
          <w:trHeight w:val="782" w:hRule="atLeast"/>
        </w:trPr>
        <w:tc>
          <w:tcPr>
            <w:tcW w:w="1150"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01</w:t>
            </w:r>
          </w:p>
        </w:tc>
        <w:tc>
          <w:tcPr>
            <w:tcW w:w="1456"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B</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2.7.3.1.1.1</w:t>
            </w:r>
          </w:p>
        </w:tc>
        <w:tc>
          <w:tcPr>
            <w:tcW w:w="169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552.39</w:t>
            </w:r>
          </w:p>
        </w:tc>
        <w:tc>
          <w:tcPr>
            <w:tcW w:w="3642" w:type="dxa"/>
            <w:tcBorders/>
            <w:vAlign w:val="center"/>
          </w:tcPr>
          <w:p>
            <w:pPr>
              <w:pStyle w:val="Normal"/>
              <w:widowControl w:val="false"/>
              <w:suppressAutoHyphens w:val="true"/>
              <w:spacing w:lineRule="auto" w:line="240" w:before="0" w:after="0"/>
              <w:jc w:val="left"/>
              <w:rPr>
                <w:rFonts w:ascii="Times New Roman" w:hAnsi="Times New Roman"/>
                <w:kern w:val="0"/>
                <w:sz w:val="24"/>
                <w:lang w:val="lt-LT" w:bidi="ar-SA"/>
              </w:rPr>
            </w:pPr>
            <w:r>
              <w:rPr>
                <w:rFonts w:eastAsia="Times New Roman" w:cs="Times New Roman" w:ascii="Times New Roman" w:hAnsi="Times New Roman"/>
                <w:kern w:val="0"/>
                <w:sz w:val="24"/>
                <w:szCs w:val="24"/>
                <w:lang w:val="lt-LT" w:eastAsia="lt-LT" w:bidi="ar-SA"/>
              </w:rPr>
              <w:t>Darbdavių socialinė parama pinigais už dvi darbo dienas ir priklausantys mokesčiai mokami sekantį mėnesį.</w:t>
            </w:r>
          </w:p>
        </w:tc>
      </w:tr>
      <w:tr>
        <w:trPr>
          <w:trHeight w:val="782" w:hRule="atLeast"/>
        </w:trPr>
        <w:tc>
          <w:tcPr>
            <w:tcW w:w="1150"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01</w:t>
            </w:r>
          </w:p>
        </w:tc>
        <w:tc>
          <w:tcPr>
            <w:tcW w:w="1456"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S</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2.2.1.1.1.30</w:t>
            </w:r>
          </w:p>
        </w:tc>
        <w:tc>
          <w:tcPr>
            <w:tcW w:w="169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149.88</w:t>
            </w:r>
          </w:p>
        </w:tc>
        <w:tc>
          <w:tcPr>
            <w:tcW w:w="3642"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Kitų prekių ir paslaugų sąskaitos, avansinės apyskaitos 03 mėn. Sąskaitos ir avansinės apyskaitos gauta mokėjimui balandžio mėn.</w:t>
            </w:r>
          </w:p>
        </w:tc>
      </w:tr>
      <w:tr>
        <w:trPr>
          <w:trHeight w:val="682" w:hRule="atLeast"/>
        </w:trPr>
        <w:tc>
          <w:tcPr>
            <w:tcW w:w="1150"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01</w:t>
            </w:r>
          </w:p>
        </w:tc>
        <w:tc>
          <w:tcPr>
            <w:tcW w:w="1456"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U (VB)</w:t>
            </w:r>
          </w:p>
        </w:tc>
        <w:tc>
          <w:tcPr>
            <w:tcW w:w="180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2.2.1.1.1.30</w:t>
            </w:r>
          </w:p>
        </w:tc>
        <w:tc>
          <w:tcPr>
            <w:tcW w:w="1694" w:type="dxa"/>
            <w:tcBorders/>
            <w:vAlign w:val="center"/>
          </w:tcPr>
          <w:p>
            <w:pPr>
              <w:pStyle w:val="Normal"/>
              <w:widowControl w:val="false"/>
              <w:suppressAutoHyphens w:val="true"/>
              <w:spacing w:lineRule="auto" w:line="240" w:before="0" w:after="0"/>
              <w:jc w:val="center"/>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1345.42</w:t>
            </w:r>
          </w:p>
        </w:tc>
        <w:tc>
          <w:tcPr>
            <w:tcW w:w="3642" w:type="dxa"/>
            <w:tcBorders/>
            <w:vAlign w:val="center"/>
          </w:tcPr>
          <w:p>
            <w:pPr>
              <w:pStyle w:val="Normal"/>
              <w:widowControl w:val="false"/>
              <w:suppressAutoHyphens w:val="true"/>
              <w:spacing w:lineRule="auto" w:line="240" w:before="0" w:after="0"/>
              <w:jc w:val="left"/>
              <w:rPr>
                <w:rFonts w:ascii="Times New Roman" w:hAnsi="Times New Roman" w:eastAsia="Calibri" w:cs=""/>
                <w:kern w:val="0"/>
                <w:sz w:val="24"/>
                <w:szCs w:val="22"/>
                <w:lang w:val="lt-LT" w:eastAsia="en-US" w:bidi="ar-SA"/>
              </w:rPr>
            </w:pPr>
            <w:r>
              <w:rPr>
                <w:rFonts w:eastAsia="Calibri" w:cs="" w:ascii="Times New Roman" w:hAnsi="Times New Roman"/>
                <w:kern w:val="0"/>
                <w:sz w:val="24"/>
                <w:szCs w:val="22"/>
                <w:lang w:val="lt-LT" w:eastAsia="en-US" w:bidi="ar-SA"/>
              </w:rPr>
              <w:t>Prekių sąskaitos ir avansinės apyskaitos prekėms NVŠ programai vykdyti per 03 mėn. Sąskaitos ir avansinės apyskaitos gautos mokėjimui balandžio mėn.</w:t>
            </w:r>
          </w:p>
        </w:tc>
      </w:tr>
      <w:tr>
        <w:trPr>
          <w:trHeight w:val="278" w:hRule="atLeast"/>
        </w:trPr>
        <w:tc>
          <w:tcPr>
            <w:tcW w:w="4410" w:type="dxa"/>
            <w:gridSpan w:val="3"/>
            <w:tcBorders/>
            <w:vAlign w:val="bottom"/>
          </w:tcPr>
          <w:p>
            <w:pPr>
              <w:pStyle w:val="Normal"/>
              <w:widowControl w:val="false"/>
              <w:suppressAutoHyphens w:val="true"/>
              <w:spacing w:lineRule="auto" w:line="240" w:beforeAutospacing="1" w:after="0"/>
              <w:contextualSpacing/>
              <w:jc w:val="right"/>
              <w:rPr>
                <w:rFonts w:eastAsia="Times New Roman" w:cs="Times New Roman"/>
                <w:sz w:val="20"/>
                <w:szCs w:val="20"/>
                <w:lang w:eastAsia="lt-LT"/>
              </w:rPr>
            </w:pPr>
            <w:r>
              <w:rPr>
                <w:rFonts w:eastAsia="Times New Roman" w:cs="Times New Roman" w:ascii="Times New Roman" w:hAnsi="Times New Roman"/>
                <w:kern w:val="0"/>
                <w:sz w:val="20"/>
                <w:szCs w:val="20"/>
                <w:lang w:val="lt-LT" w:eastAsia="lt-LT" w:bidi="ar-SA"/>
              </w:rPr>
              <w:t>Iš viso:</w:t>
            </w:r>
          </w:p>
        </w:tc>
        <w:tc>
          <w:tcPr>
            <w:tcW w:w="1694" w:type="dxa"/>
            <w:tcBorders/>
            <w:vAlign w:val="bottom"/>
          </w:tcPr>
          <w:p>
            <w:pPr>
              <w:pStyle w:val="Normal"/>
              <w:widowControl w:val="false"/>
              <w:suppressAutoHyphens w:val="true"/>
              <w:spacing w:lineRule="auto" w:line="240" w:beforeAutospacing="1" w:after="0"/>
              <w:contextualSpacing/>
              <w:jc w:val="center"/>
              <w:rPr>
                <w:rFonts w:eastAsia="Times New Roman" w:cs="Times New Roman"/>
                <w:szCs w:val="24"/>
                <w:lang w:eastAsia="lt-LT"/>
              </w:rPr>
            </w:pPr>
            <w:r>
              <w:rPr>
                <w:rFonts w:eastAsia="Times New Roman" w:cs="Times New Roman" w:ascii="Times New Roman" w:hAnsi="Times New Roman"/>
                <w:kern w:val="0"/>
                <w:sz w:val="24"/>
                <w:szCs w:val="24"/>
                <w:lang w:val="lt-LT" w:eastAsia="lt-LT" w:bidi="ar-SA"/>
              </w:rPr>
              <w:t>67759.40</w:t>
            </w:r>
          </w:p>
        </w:tc>
        <w:tc>
          <w:tcPr>
            <w:tcW w:w="3642" w:type="dxa"/>
            <w:tcBorders/>
            <w:vAlign w:val="bottom"/>
          </w:tcPr>
          <w:p>
            <w:pPr>
              <w:pStyle w:val="Normal"/>
              <w:widowControl w:val="false"/>
              <w:suppressAutoHyphens w:val="true"/>
              <w:spacing w:lineRule="auto" w:line="240" w:beforeAutospacing="1" w:after="0"/>
              <w:contextualSpacing/>
              <w:jc w:val="center"/>
              <w:rPr>
                <w:rFonts w:eastAsia="Times New Roman" w:cs="Times New Roman"/>
                <w:sz w:val="20"/>
                <w:szCs w:val="20"/>
                <w:lang w:eastAsia="lt-LT"/>
              </w:rPr>
            </w:pPr>
            <w:r>
              <w:rPr>
                <w:rFonts w:eastAsia="Times New Roman" w:cs="Times New Roman" w:ascii="Times New Roman" w:hAnsi="Times New Roman"/>
                <w:kern w:val="0"/>
                <w:sz w:val="20"/>
                <w:szCs w:val="20"/>
                <w:lang w:val="lt-LT" w:eastAsia="lt-LT" w:bidi="ar-SA"/>
              </w:rPr>
              <w:t>X</w:t>
            </w:r>
          </w:p>
        </w:tc>
      </w:tr>
    </w:tbl>
    <w:p>
      <w:pPr>
        <w:pStyle w:val="Normal"/>
        <w:tabs>
          <w:tab w:val="clear" w:pos="1296"/>
          <w:tab w:val="left" w:pos="1134" w:leader="none"/>
        </w:tabs>
        <w:spacing w:lineRule="auto" w:line="360" w:before="0" w:after="0"/>
        <w:ind w:firstLine="851"/>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t>Pradelstų įsiskolinimų, kuriems terminas didesnis negu 45 dienos nėra.</w:t>
      </w:r>
    </w:p>
    <w:p>
      <w:pPr>
        <w:pStyle w:val="Normal"/>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t>Kreditorinis įsiskolinimas bus padengtas per balandžio mėn.</w:t>
      </w:r>
    </w:p>
    <w:p>
      <w:pPr>
        <w:pStyle w:val="Normal"/>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85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1296"/>
          <w:tab w:val="left" w:pos="1134"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1296"/>
          <w:tab w:val="left" w:pos="1134" w:leader="none"/>
        </w:tabs>
        <w:jc w:val="center"/>
        <w:rPr>
          <w:rFonts w:ascii="Times New Roman" w:hAnsi="Times New Roman" w:cs="Times New Roman"/>
          <w:b/>
          <w:b/>
          <w:sz w:val="24"/>
          <w:szCs w:val="24"/>
        </w:rPr>
      </w:pPr>
      <w:r>
        <w:rPr>
          <w:rFonts w:cs="Times New Roman" w:ascii="Times New Roman" w:hAnsi="Times New Roman"/>
          <w:b/>
          <w:sz w:val="24"/>
          <w:szCs w:val="24"/>
        </w:rPr>
        <w:t>BIUDŽETINIŲ LĖŠŲ SĄSKAITOS LĖŠŲ LIKUČIAI</w:t>
      </w:r>
    </w:p>
    <w:p>
      <w:pPr>
        <w:pStyle w:val="Normal"/>
        <w:tabs>
          <w:tab w:val="clear" w:pos="1296"/>
          <w:tab w:val="left" w:pos="1134"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1296"/>
          <w:tab w:val="left" w:pos="1134" w:leader="none"/>
        </w:tabs>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t>Biudžetinių lėšų sąskaitoje metų pradžioje ir ataskaitinio laikotarpio pabaigoje nebuvo.</w:t>
      </w:r>
    </w:p>
    <w:p>
      <w:pPr>
        <w:pStyle w:val="Normal"/>
        <w:spacing w:lineRule="auto" w:line="360"/>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Pajamų įmokų lėšų likutis banko sąskaitoje metų pradžioje 0.00 Eur. Ataskaitinio laikotarpio pabaigoje lėšų likutis sąskaitose 700.00 Eur (dėl atšaukto spektaklio sąskaita buvo anuliuota), kasoje 162.90 Eur.</w:t>
      </w:r>
    </w:p>
    <w:p>
      <w:pPr>
        <w:pStyle w:val="Normal"/>
        <w:tabs>
          <w:tab w:val="clear" w:pos="1296"/>
          <w:tab w:val="left" w:pos="1134" w:leader="none"/>
        </w:tabs>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1134" w:leader="none"/>
        </w:tabs>
        <w:spacing w:lineRule="auto" w:line="36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1134"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Direktorė                                                                                                    Jolita Janušonienė                                                           </w:t>
      </w:r>
    </w:p>
    <w:p>
      <w:pPr>
        <w:pStyle w:val="Normal"/>
        <w:tabs>
          <w:tab w:val="clear" w:pos="1296"/>
          <w:tab w:val="left" w:pos="113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Savivaldybės įstaigų buhalterinės apskaitos</w:t>
        <w:tab/>
        <w:tab/>
        <w:t xml:space="preserve">        Jolanta Balaišienė</w:t>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tarnybos vedėja</w:t>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120130" cy="8651240"/>
            <wp:effectExtent l="0" t="0" r="0" b="0"/>
            <wp:wrapSquare wrapText="largest"/>
            <wp:docPr id="1" name="Paveiksla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2" descr=""/>
                    <pic:cNvPicPr>
                      <a:picLocks noChangeAspect="1" noChangeArrowheads="1"/>
                    </pic:cNvPicPr>
                  </pic:nvPicPr>
                  <pic:blipFill>
                    <a:blip r:embed="rId2"/>
                    <a:stretch>
                      <a:fillRect/>
                    </a:stretch>
                  </pic:blipFill>
                  <pic:spPr bwMode="auto">
                    <a:xfrm>
                      <a:off x="0" y="0"/>
                      <a:ext cx="6120130" cy="8651240"/>
                    </a:xfrm>
                    <a:prstGeom prst="rect">
                      <a:avLst/>
                    </a:prstGeom>
                  </pic:spPr>
                </pic:pic>
              </a:graphicData>
            </a:graphic>
          </wp:anchor>
        </w:drawing>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120130" cy="8651240"/>
            <wp:effectExtent l="0" t="0" r="0" b="0"/>
            <wp:wrapSquare wrapText="largest"/>
            <wp:docPr id="2" name="Paveiksla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as3" descr=""/>
                    <pic:cNvPicPr>
                      <a:picLocks noChangeAspect="1" noChangeArrowheads="1"/>
                    </pic:cNvPicPr>
                  </pic:nvPicPr>
                  <pic:blipFill>
                    <a:blip r:embed="rId3"/>
                    <a:stretch>
                      <a:fillRect/>
                    </a:stretch>
                  </pic:blipFill>
                  <pic:spPr bwMode="auto">
                    <a:xfrm>
                      <a:off x="0" y="0"/>
                      <a:ext cx="6120130" cy="8651240"/>
                    </a:xfrm>
                    <a:prstGeom prst="rect">
                      <a:avLst/>
                    </a:prstGeom>
                  </pic:spPr>
                </pic:pic>
              </a:graphicData>
            </a:graphic>
          </wp:anchor>
        </w:drawing>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120130" cy="8651240"/>
            <wp:effectExtent l="0" t="0" r="0" b="0"/>
            <wp:wrapSquare wrapText="largest"/>
            <wp:docPr id="3" name="Paveiksla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4" descr=""/>
                    <pic:cNvPicPr>
                      <a:picLocks noChangeAspect="1" noChangeArrowheads="1"/>
                    </pic:cNvPicPr>
                  </pic:nvPicPr>
                  <pic:blipFill>
                    <a:blip r:embed="rId4"/>
                    <a:stretch>
                      <a:fillRect/>
                    </a:stretch>
                  </pic:blipFill>
                  <pic:spPr bwMode="auto">
                    <a:xfrm>
                      <a:off x="0" y="0"/>
                      <a:ext cx="6120130" cy="8651240"/>
                    </a:xfrm>
                    <a:prstGeom prst="rect">
                      <a:avLst/>
                    </a:prstGeom>
                  </pic:spPr>
                </pic:pic>
              </a:graphicData>
            </a:graphic>
          </wp:anchor>
        </w:drawing>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120130" cy="8651240"/>
            <wp:effectExtent l="0" t="0" r="0" b="0"/>
            <wp:wrapSquare wrapText="largest"/>
            <wp:docPr id="4" name="Paveiksla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as5" descr=""/>
                    <pic:cNvPicPr>
                      <a:picLocks noChangeAspect="1" noChangeArrowheads="1"/>
                    </pic:cNvPicPr>
                  </pic:nvPicPr>
                  <pic:blipFill>
                    <a:blip r:embed="rId5"/>
                    <a:stretch>
                      <a:fillRect/>
                    </a:stretch>
                  </pic:blipFill>
                  <pic:spPr bwMode="auto">
                    <a:xfrm>
                      <a:off x="0" y="0"/>
                      <a:ext cx="6120130" cy="8651240"/>
                    </a:xfrm>
                    <a:prstGeom prst="rect">
                      <a:avLst/>
                    </a:prstGeom>
                  </pic:spPr>
                </pic:pic>
              </a:graphicData>
            </a:graphic>
          </wp:anchor>
        </w:drawing>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r>
    </w:p>
    <w:p>
      <w:pPr>
        <w:pStyle w:val="Normal"/>
        <w:tabs>
          <w:tab w:val="clear" w:pos="1296"/>
          <w:tab w:val="left" w:pos="1134" w:leader="none"/>
        </w:tabs>
        <w:spacing w:lineRule="auto" w:line="240" w:before="0" w:after="0"/>
        <w:jc w:val="both"/>
        <w:rPr>
          <w:rFonts w:ascii="Times New Roman" w:hAnsi="Times New Roman" w:cs="Times New Roman"/>
          <w:sz w:val="24"/>
          <w:szCs w:val="24"/>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120130" cy="8651240"/>
            <wp:effectExtent l="0" t="0" r="0" b="0"/>
            <wp:wrapSquare wrapText="largest"/>
            <wp:docPr id="5" name="Paveiksl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as1" descr=""/>
                    <pic:cNvPicPr>
                      <a:picLocks noChangeAspect="1" noChangeArrowheads="1"/>
                    </pic:cNvPicPr>
                  </pic:nvPicPr>
                  <pic:blipFill>
                    <a:blip r:embed="rId6"/>
                    <a:stretch>
                      <a:fillRect/>
                    </a:stretch>
                  </pic:blipFill>
                  <pic:spPr bwMode="auto">
                    <a:xfrm>
                      <a:off x="0" y="0"/>
                      <a:ext cx="6120130" cy="8651240"/>
                    </a:xfrm>
                    <a:prstGeom prst="rect">
                      <a:avLst/>
                    </a:prstGeom>
                  </pic:spPr>
                </pic:pic>
              </a:graphicData>
            </a:graphic>
          </wp:anchor>
        </w:drawing>
      </w:r>
    </w:p>
    <w:sectPr>
      <w:type w:val="nextPage"/>
      <w:pgSz w:w="11906" w:h="16838"/>
      <w:pgMar w:left="1701" w:right="567"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 New Roman">
    <w:charset w:val="ba"/>
    <w:family w:val="roman"/>
    <w:pitch w:val="variable"/>
  </w:font>
  <w:font w:name="Liberation Sans">
    <w:altName w:val="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2"/>
    <w:compatSetting w:name="useWord2013TrackBottomHyphenation"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4e6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uiPriority w:val="99"/>
    <w:semiHidden/>
    <w:qFormat/>
    <w:rsid w:val="00444f00"/>
    <w:rPr/>
  </w:style>
  <w:style w:type="character" w:styleId="PoratDiagrama" w:customStyle="1">
    <w:name w:val="Poraštė Diagrama"/>
    <w:basedOn w:val="DefaultParagraphFont"/>
    <w:link w:val="Porat"/>
    <w:uiPriority w:val="99"/>
    <w:semiHidden/>
    <w:qFormat/>
    <w:rsid w:val="00444f00"/>
    <w:rPr/>
  </w:style>
  <w:style w:type="character" w:styleId="Annotationreference">
    <w:name w:val="annotation reference"/>
    <w:basedOn w:val="DefaultParagraphFont"/>
    <w:uiPriority w:val="99"/>
    <w:semiHidden/>
    <w:unhideWhenUsed/>
    <w:qFormat/>
    <w:rsid w:val="00266f13"/>
    <w:rPr>
      <w:sz w:val="16"/>
      <w:szCs w:val="16"/>
    </w:rPr>
  </w:style>
  <w:style w:type="character" w:styleId="KomentarotekstasDiagrama" w:customStyle="1">
    <w:name w:val="Komentaro tekstas Diagrama"/>
    <w:basedOn w:val="DefaultParagraphFont"/>
    <w:link w:val="Komentarotekstas"/>
    <w:uiPriority w:val="99"/>
    <w:semiHidden/>
    <w:qFormat/>
    <w:rsid w:val="00266f13"/>
    <w:rPr>
      <w:sz w:val="20"/>
      <w:szCs w:val="20"/>
    </w:rPr>
  </w:style>
  <w:style w:type="character" w:styleId="KomentarotemaDiagrama" w:customStyle="1">
    <w:name w:val="Komentaro tema Diagrama"/>
    <w:basedOn w:val="KomentarotekstasDiagrama"/>
    <w:link w:val="Komentarotema"/>
    <w:uiPriority w:val="99"/>
    <w:semiHidden/>
    <w:qFormat/>
    <w:rsid w:val="00266f13"/>
    <w:rPr>
      <w:b/>
      <w:bCs/>
      <w:sz w:val="20"/>
      <w:szCs w:val="20"/>
    </w:rPr>
  </w:style>
  <w:style w:type="character" w:styleId="DebesliotekstasDiagrama" w:customStyle="1">
    <w:name w:val="Debesėlio tekstas Diagrama"/>
    <w:basedOn w:val="DefaultParagraphFont"/>
    <w:link w:val="Debesliotekstas"/>
    <w:uiPriority w:val="99"/>
    <w:semiHidden/>
    <w:qFormat/>
    <w:rsid w:val="00266f13"/>
    <w:rPr>
      <w:rFonts w:ascii="Tahoma" w:hAnsi="Tahoma" w:cs="Tahoma"/>
      <w:sz w:val="16"/>
      <w:szCs w:val="16"/>
    </w:rPr>
  </w:style>
  <w:style w:type="character" w:styleId="PagrindinistekstasDiagrama" w:customStyle="1">
    <w:name w:val="Pagrindinis tekstas Diagrama"/>
    <w:basedOn w:val="DefaultParagraphFont"/>
    <w:link w:val="Pagrindinistekstas"/>
    <w:semiHidden/>
    <w:qFormat/>
    <w:rsid w:val="00ab6930"/>
    <w:rPr>
      <w:rFonts w:ascii="Times New Roman" w:hAnsi="Times New Roman" w:eastAsia="Times New Roman" w:cs="Times New Roman"/>
      <w:sz w:val="24"/>
      <w:szCs w:val="24"/>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link w:val="PagrindinistekstasDiagrama"/>
    <w:semiHidden/>
    <w:unhideWhenUsed/>
    <w:rsid w:val="00ab6930"/>
    <w:pPr>
      <w:spacing w:lineRule="auto" w:line="360" w:before="0" w:after="0"/>
      <w:jc w:val="both"/>
    </w:pPr>
    <w:rPr>
      <w:rFonts w:ascii="Times New Roman" w:hAnsi="Times New Roman" w:eastAsia="Times New Roman" w:cs="Times New Roman"/>
      <w:sz w:val="24"/>
      <w:szCs w:val="24"/>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rPr>
  </w:style>
  <w:style w:type="paragraph" w:styleId="ListParagraph">
    <w:name w:val="List Paragraph"/>
    <w:basedOn w:val="Normal"/>
    <w:uiPriority w:val="34"/>
    <w:qFormat/>
    <w:rsid w:val="00294af5"/>
    <w:pPr>
      <w:spacing w:before="0" w:after="200"/>
      <w:ind w:left="720" w:hanging="0"/>
      <w:contextualSpacing/>
    </w:pPr>
    <w:rPr/>
  </w:style>
  <w:style w:type="paragraph" w:styleId="Puslapinantratirporat">
    <w:name w:val="Puslapinė antraštė ir poraštė"/>
    <w:basedOn w:val="Normal"/>
    <w:qFormat/>
    <w:pPr/>
    <w:rPr/>
  </w:style>
  <w:style w:type="paragraph" w:styleId="Puslapinantrat">
    <w:name w:val="Header"/>
    <w:basedOn w:val="Normal"/>
    <w:link w:val="AntratsDiagrama"/>
    <w:uiPriority w:val="99"/>
    <w:semiHidden/>
    <w:unhideWhenUsed/>
    <w:rsid w:val="00444f00"/>
    <w:pPr>
      <w:tabs>
        <w:tab w:val="clear" w:pos="1296"/>
        <w:tab w:val="center" w:pos="4819" w:leader="none"/>
        <w:tab w:val="right" w:pos="9638" w:leader="none"/>
      </w:tabs>
      <w:spacing w:lineRule="auto" w:line="240" w:before="0" w:after="0"/>
    </w:pPr>
    <w:rPr/>
  </w:style>
  <w:style w:type="paragraph" w:styleId="Puslapinporat">
    <w:name w:val="Footer"/>
    <w:basedOn w:val="Normal"/>
    <w:link w:val="PoratDiagrama"/>
    <w:uiPriority w:val="99"/>
    <w:semiHidden/>
    <w:unhideWhenUsed/>
    <w:rsid w:val="00444f00"/>
    <w:pPr>
      <w:tabs>
        <w:tab w:val="clear" w:pos="1296"/>
        <w:tab w:val="center" w:pos="4819" w:leader="none"/>
        <w:tab w:val="right" w:pos="9638" w:leader="none"/>
      </w:tabs>
      <w:spacing w:lineRule="auto" w:line="240" w:before="0" w:after="0"/>
    </w:pPr>
    <w:rPr/>
  </w:style>
  <w:style w:type="paragraph" w:styleId="Annotationtext">
    <w:name w:val="annotation text"/>
    <w:basedOn w:val="Normal"/>
    <w:link w:val="KomentarotekstasDiagrama"/>
    <w:uiPriority w:val="99"/>
    <w:semiHidden/>
    <w:unhideWhenUsed/>
    <w:qFormat/>
    <w:rsid w:val="00266f13"/>
    <w:pPr>
      <w:spacing w:lineRule="auto" w:line="240"/>
    </w:pPr>
    <w:rPr>
      <w:sz w:val="20"/>
      <w:szCs w:val="20"/>
    </w:rPr>
  </w:style>
  <w:style w:type="paragraph" w:styleId="Annotationsubject">
    <w:name w:val="annotation subject"/>
    <w:basedOn w:val="Annotationtext"/>
    <w:next w:val="Annotationtext"/>
    <w:link w:val="KomentarotemaDiagrama"/>
    <w:uiPriority w:val="99"/>
    <w:semiHidden/>
    <w:unhideWhenUsed/>
    <w:qFormat/>
    <w:rsid w:val="00266f13"/>
    <w:pPr/>
    <w:rPr>
      <w:b/>
      <w:bCs/>
    </w:rPr>
  </w:style>
  <w:style w:type="paragraph" w:styleId="BalloonText">
    <w:name w:val="Balloon Text"/>
    <w:basedOn w:val="Normal"/>
    <w:link w:val="DebesliotekstasDiagrama"/>
    <w:uiPriority w:val="99"/>
    <w:semiHidden/>
    <w:unhideWhenUsed/>
    <w:qFormat/>
    <w:rsid w:val="00266f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39"/>
    <w:rsid w:val="004e0584"/>
    <w:pPr>
      <w:spacing w:after="0" w:line="240" w:lineRule="auto"/>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179CA-3A92-4E90-8C4B-84D3FED9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Application>LibreOffice/7.0.5.2$Windows_X86_64 LibreOffice_project/64390860c6cd0aca4beafafcfd84613dd9dfb63a</Application>
  <AppVersion>15.0000</AppVersion>
  <Pages>8</Pages>
  <Words>486</Words>
  <Characters>3336</Characters>
  <CharactersWithSpaces>3944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2011-01-14T11:30:00Z</dcterms:created>
  <dc:creator>Your User Name</dc:creator>
  <dc:description/>
  <dc:language>lt-LT</dc:language>
  <cp:lastModifiedBy/>
  <cp:lastPrinted>2020-01-11T11:45:00Z</cp:lastPrinted>
  <dcterms:modified xsi:type="dcterms:W3CDTF">2022-04-19T15:43:03Z</dcterms:modified>
  <cp:revision>456</cp:revision>
  <dc:subject/>
  <dc:title/>
</cp:coreProperties>
</file>

<file path=docProps/custom.xml><?xml version="1.0" encoding="utf-8"?>
<Properties xmlns="http://schemas.openxmlformats.org/officeDocument/2006/custom-properties" xmlns:vt="http://schemas.openxmlformats.org/officeDocument/2006/docPropsVTypes"/>
</file>